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305D2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305D2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305D2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305D2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305D2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305D2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305D2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305D2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9803B28" w:rsidR="00FD7332" w:rsidRPr="001A7960" w:rsidRDefault="007B1E0A" w:rsidP="007B1E0A">
                <w:pPr>
                  <w:rPr>
                    <w:rFonts w:asciiTheme="minorHAnsi" w:eastAsia="Avenir" w:hAnsiTheme="minorHAnsi" w:cstheme="minorHAnsi"/>
                    <w:sz w:val="22"/>
                    <w:szCs w:val="22"/>
                    <w:lang w:val="fr-FR"/>
                  </w:rPr>
                </w:pPr>
                <w:r>
                  <w:rPr>
                    <w:rFonts w:asciiTheme="minorHAnsi" w:eastAsia="Avenir" w:hAnsiTheme="minorHAnsi" w:cstheme="minorHAnsi"/>
                    <w:sz w:val="22"/>
                    <w:szCs w:val="22"/>
                  </w:rPr>
                  <w:t>Chan Ching Yan Noel</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305D2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265B6BD" w:rsidR="00FD7332" w:rsidRPr="001A7960" w:rsidRDefault="007B1E0A" w:rsidP="007B1E0A">
                <w:pPr>
                  <w:rPr>
                    <w:rFonts w:ascii="Calibri" w:eastAsia="Avenir" w:hAnsi="Calibri" w:cs="Calibri"/>
                    <w:sz w:val="22"/>
                    <w:szCs w:val="22"/>
                    <w:lang w:val="fr-FR"/>
                  </w:rPr>
                </w:pPr>
                <w:r>
                  <w:rPr>
                    <w:rFonts w:ascii="Calibri" w:eastAsia="Avenir" w:hAnsi="Calibri" w:cs="Calibri"/>
                    <w:sz w:val="22"/>
                    <w:szCs w:val="22"/>
                    <w:lang w:val="fr-FR"/>
                  </w:rPr>
                  <w:t>Department of Ophthalmology &amp; Visual Sciences, The Chinese University of Hong Kong</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305D2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E6DECCD" w:rsidR="00FD7332" w:rsidRPr="001A7960" w:rsidRDefault="007B1E0A" w:rsidP="007B1E0A">
                <w:pPr>
                  <w:rPr>
                    <w:rFonts w:ascii="Calibri" w:eastAsia="Avenir" w:hAnsi="Calibri" w:cs="Calibri"/>
                    <w:sz w:val="22"/>
                    <w:szCs w:val="22"/>
                    <w:lang w:val="fr-FR"/>
                  </w:rPr>
                </w:pPr>
                <w:r>
                  <w:rPr>
                    <w:rFonts w:ascii="Calibri" w:eastAsia="Avenir" w:hAnsi="Calibri" w:cs="Calibri"/>
                    <w:sz w:val="22"/>
                    <w:szCs w:val="22"/>
                  </w:rPr>
                  <w:t>noelccy@gmail.com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305D2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305D2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305D2A">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305D2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D2AE5AC" w:rsidR="00FD7332" w:rsidRDefault="00305D2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2E3A2E">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2B0C7689" w:rsidR="00FD7332" w:rsidRDefault="00305D2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7B1E0A">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305D2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305D2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305D2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305D2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305D2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305D2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305D2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305D2A">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1043ADE7" w:rsidR="00FD7332" w:rsidRPr="000B16D5" w:rsidRDefault="007B1E0A" w:rsidP="007B1E0A">
                <w:pPr>
                  <w:rPr>
                    <w:rFonts w:asciiTheme="minorHAnsi" w:eastAsia="Avenir" w:hAnsiTheme="minorHAnsi" w:cstheme="minorHAnsi"/>
                    <w:sz w:val="22"/>
                    <w:szCs w:val="22"/>
                    <w:lang w:val="en-GB"/>
                  </w:rPr>
                </w:pPr>
                <w:r>
                  <w:rPr>
                    <w:rFonts w:asciiTheme="minorHAnsi" w:eastAsia="Avenir" w:hAnsiTheme="minorHAnsi" w:cstheme="minorHAnsi"/>
                    <w:sz w:val="22"/>
                    <w:szCs w:val="22"/>
                  </w:rPr>
                  <w:t>Santen Pharmaceutical (Hong Kong) – Travel sponsorships on flights and accommodation to WGC 2025</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305D2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305D2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305D2A">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305D2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305D2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305D2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305D2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305D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zh-TW"/>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305D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305D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305D2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305D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305D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305D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305D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305D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305D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305D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lastRenderedPageBreak/>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7E1F55"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eastAsia="zh-TW"/>
            </w:rPr>
            <w:drawing>
              <wp:inline distT="0" distB="0" distL="0" distR="0" wp14:anchorId="6E0CEF06" wp14:editId="75DFAA97">
                <wp:extent cx="1266825" cy="950118"/>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66825" cy="95011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A3B5271" w:rsidR="000B16D5" w:rsidRDefault="002E3A2E" w:rsidP="000B16D5">
                <w:pPr>
                  <w:rPr>
                    <w:rFonts w:ascii="Calibri" w:eastAsia="Avenir" w:hAnsi="Calibri" w:cs="Calibri"/>
                    <w:sz w:val="22"/>
                    <w:szCs w:val="22"/>
                    <w:lang w:val="en-GB"/>
                  </w:rPr>
                </w:pPr>
                <w:r>
                  <w:rPr>
                    <w:rFonts w:ascii="Calibri" w:eastAsia="Avenir" w:hAnsi="Calibri" w:cs="Calibri"/>
                    <w:sz w:val="22"/>
                    <w:szCs w:val="22"/>
                    <w:lang w:val="en-GB"/>
                  </w:rPr>
                  <w:t>Chan Ching Yan Noel</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0785321" w:rsidR="00FD7332" w:rsidRPr="000B16D5" w:rsidRDefault="007E1F55" w:rsidP="007B1E0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2E3A2E">
                  <w:rPr>
                    <w:rFonts w:asciiTheme="minorHAnsi" w:eastAsia="Avenir" w:hAnsiTheme="minorHAnsi" w:cstheme="minorHAnsi"/>
                    <w:sz w:val="22"/>
                    <w:szCs w:val="22"/>
                    <w:lang w:val="fr-FR"/>
                  </w:rPr>
                  <w:t>31</w:t>
                </w:r>
                <w:r w:rsidR="007B1E0A">
                  <w:rPr>
                    <w:rFonts w:asciiTheme="minorHAnsi" w:eastAsia="Avenir" w:hAnsiTheme="minorHAnsi" w:cstheme="minorHAnsi"/>
                    <w:sz w:val="22"/>
                    <w:szCs w:val="22"/>
                    <w:lang w:val="fr-FR"/>
                  </w:rPr>
                  <w:t>/5/2025</w:t>
                </w:r>
              </w:sdtContent>
            </w:sdt>
          </w:p>
        </w:tc>
      </w:tr>
    </w:tbl>
    <w:p w14:paraId="7510BB87" w14:textId="78A1D3FC" w:rsidR="00FD7332" w:rsidRDefault="00305D2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305D2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305D2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305D2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305D2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zh-TW"/>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1C993" w14:textId="77777777" w:rsidR="008D7634" w:rsidRDefault="008D7634">
      <w:r>
        <w:separator/>
      </w:r>
    </w:p>
  </w:endnote>
  <w:endnote w:type="continuationSeparator" w:id="0">
    <w:p w14:paraId="48C15742" w14:textId="77777777" w:rsidR="008D7634" w:rsidRDefault="008D7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305D2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305D2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305D2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305D2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305D2A">
    <w:pPr>
      <w:spacing w:after="200"/>
      <w:jc w:val="center"/>
      <w:rPr>
        <w:color w:val="000000"/>
      </w:rPr>
    </w:pPr>
    <w:r>
      <w:rPr>
        <w:rFonts w:ascii="Arial" w:eastAsia="Arial" w:hAnsi="Arial" w:cs="Arial"/>
        <w:noProof/>
        <w:color w:val="666666"/>
        <w:sz w:val="17"/>
        <w:szCs w:val="17"/>
        <w:lang w:eastAsia="zh-TW"/>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5FF42" w14:textId="77777777" w:rsidR="008D7634" w:rsidRDefault="008D7634">
      <w:r>
        <w:separator/>
      </w:r>
    </w:p>
  </w:footnote>
  <w:footnote w:type="continuationSeparator" w:id="0">
    <w:p w14:paraId="20748B8C" w14:textId="77777777" w:rsidR="008D7634" w:rsidRDefault="008D7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305D2A">
    <w:pPr>
      <w:tabs>
        <w:tab w:val="center" w:pos="4320"/>
        <w:tab w:val="right" w:pos="8640"/>
      </w:tabs>
      <w:jc w:val="center"/>
    </w:pPr>
    <w:r>
      <w:rPr>
        <w:noProof/>
        <w:lang w:eastAsia="zh-TW"/>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36349712">
    <w:abstractNumId w:val="1"/>
  </w:num>
  <w:num w:numId="2" w16cid:durableId="580256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91196"/>
    <w:rsid w:val="000B16D5"/>
    <w:rsid w:val="001A0203"/>
    <w:rsid w:val="001A7960"/>
    <w:rsid w:val="002E3A2E"/>
    <w:rsid w:val="00305D2A"/>
    <w:rsid w:val="003E725A"/>
    <w:rsid w:val="007B1E0A"/>
    <w:rsid w:val="007C7C39"/>
    <w:rsid w:val="007E1F55"/>
    <w:rsid w:val="008D7634"/>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6B46E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6B46E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091196"/>
    <w:rsid w:val="006B46EB"/>
    <w:rsid w:val="007C7C39"/>
    <w:rsid w:val="009604AC"/>
    <w:rsid w:val="00966CEF"/>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9C0EFBE-B63B-4397-8D64-5B334B77121B}"/>
</file>

<file path=customXml/itemProps3.xml><?xml version="1.0" encoding="utf-8"?>
<ds:datastoreItem xmlns:ds="http://schemas.openxmlformats.org/officeDocument/2006/customXml" ds:itemID="{A5C09031-C496-4D4D-A62C-CAB6131CA12C}"/>
</file>

<file path=customXml/itemProps4.xml><?xml version="1.0" encoding="utf-8"?>
<ds:datastoreItem xmlns:ds="http://schemas.openxmlformats.org/officeDocument/2006/customXml" ds:itemID="{043A0BE0-CE0C-4AF1-B575-B6FC230CD1A3}"/>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4166</Characters>
  <Application>Microsoft Office Word</Application>
  <DocSecurity>4</DocSecurity>
  <Lines>34</Lines>
  <Paragraphs>9</Paragraphs>
  <ScaleCrop>false</ScaleCrop>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2025-06-02T14:36:00Z</dcterms:created>
  <dcterms:modified xsi:type="dcterms:W3CDTF">2025-06-02T14:36:00Z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